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4F5E65" w:rsidRDefault="00E877AF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lang w:val="ka-GE"/>
        </w:rPr>
      </w:pPr>
      <w:bookmarkStart w:id="0" w:name="_GoBack"/>
      <w:bookmarkEnd w:id="0"/>
      <w:r>
        <w:rPr>
          <w:sz w:val="20"/>
        </w:rPr>
        <w:t>4</w:t>
      </w:r>
      <w:r w:rsidR="00B6229A" w:rsidRPr="004F5E65">
        <w:rPr>
          <w:sz w:val="20"/>
          <w:lang w:val="ka-GE"/>
        </w:rPr>
        <w:t xml:space="preserve">. </w:t>
      </w:r>
      <w:r w:rsidR="00B6229A" w:rsidRPr="004F5E65">
        <w:rPr>
          <w:rFonts w:ascii="Sylfaen" w:hAnsi="Sylfaen" w:cs="Sylfaen"/>
          <w:sz w:val="20"/>
          <w:lang w:val="ka-GE"/>
        </w:rPr>
        <w:t>მე</w:t>
      </w:r>
      <w:r w:rsidR="00B6229A" w:rsidRPr="004F5E65">
        <w:rPr>
          <w:sz w:val="20"/>
          <w:lang w:val="ka-GE"/>
        </w:rPr>
        <w:t>-1</w:t>
      </w:r>
      <w:r w:rsidR="00B53CCD" w:rsidRPr="004F5E65">
        <w:rPr>
          <w:sz w:val="20"/>
        </w:rPr>
        <w:t>7</w:t>
      </w:r>
      <w:r w:rsidR="00B6229A" w:rsidRPr="004F5E65">
        <w:rPr>
          <w:sz w:val="20"/>
          <w:lang w:val="ka-GE"/>
        </w:rPr>
        <w:t xml:space="preserve"> </w:t>
      </w:r>
      <w:r w:rsidR="00B6229A" w:rsidRPr="004F5E65">
        <w:rPr>
          <w:rFonts w:ascii="Sylfaen" w:hAnsi="Sylfaen" w:cs="Sylfaen"/>
          <w:sz w:val="20"/>
          <w:lang w:val="ka-GE"/>
        </w:rPr>
        <w:t>მუხლი</w:t>
      </w:r>
      <w:r w:rsidR="00B53CCD" w:rsidRPr="004F5E65">
        <w:rPr>
          <w:rFonts w:ascii="Sylfaen" w:hAnsi="Sylfaen" w:cs="Sylfaen"/>
          <w:sz w:val="20"/>
        </w:rPr>
        <w:t xml:space="preserve"> </w:t>
      </w:r>
      <w:r w:rsidR="00B6229A" w:rsidRPr="004F5E65">
        <w:rPr>
          <w:rFonts w:ascii="Sylfaen" w:hAnsi="Sylfaen" w:cs="Sylfaen"/>
          <w:sz w:val="20"/>
          <w:lang w:val="ka-GE"/>
        </w:rPr>
        <w:t>ჩამოყალიბდეს</w:t>
      </w:r>
      <w:r w:rsidR="00B6229A" w:rsidRPr="004F5E65">
        <w:rPr>
          <w:sz w:val="20"/>
          <w:lang w:val="ka-GE"/>
        </w:rPr>
        <w:t xml:space="preserve"> </w:t>
      </w:r>
      <w:r w:rsidR="00B6229A" w:rsidRPr="004F5E65">
        <w:rPr>
          <w:rFonts w:ascii="Sylfaen" w:hAnsi="Sylfaen" w:cs="Sylfaen"/>
          <w:sz w:val="20"/>
          <w:lang w:val="ka-GE"/>
        </w:rPr>
        <w:t>შემდეგი</w:t>
      </w:r>
      <w:r w:rsidR="00B6229A" w:rsidRPr="004F5E65">
        <w:rPr>
          <w:sz w:val="20"/>
          <w:lang w:val="ka-GE"/>
        </w:rPr>
        <w:t xml:space="preserve"> </w:t>
      </w:r>
      <w:r w:rsidR="00B6229A" w:rsidRPr="004F5E65">
        <w:rPr>
          <w:rFonts w:ascii="Sylfaen" w:hAnsi="Sylfaen" w:cs="Sylfaen"/>
          <w:sz w:val="20"/>
          <w:lang w:val="ka-GE"/>
        </w:rPr>
        <w:t>რედაქციით</w:t>
      </w:r>
      <w:r w:rsidR="00B6229A" w:rsidRPr="004F5E65">
        <w:rPr>
          <w:sz w:val="20"/>
          <w:lang w:val="ka-GE"/>
        </w:rPr>
        <w:t>:</w:t>
      </w:r>
    </w:p>
    <w:p w:rsidR="0099557E" w:rsidRPr="00B53CCD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highlight w:val="yellow"/>
          <w:lang w:val="ka-GE"/>
        </w:rPr>
      </w:pPr>
    </w:p>
    <w:p w:rsidR="00B53CCD" w:rsidRPr="00B53CCD" w:rsidRDefault="00B53CCD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  <w:proofErr w:type="spellStart"/>
      <w:proofErr w:type="gramStart"/>
      <w:r w:rsidRPr="00B53CCD">
        <w:rPr>
          <w:rFonts w:ascii="Sylfaen" w:eastAsia="Sylfaen" w:hAnsi="Sylfaen"/>
          <w:b/>
          <w:sz w:val="20"/>
        </w:rPr>
        <w:t>მუხლი</w:t>
      </w:r>
      <w:proofErr w:type="spellEnd"/>
      <w:proofErr w:type="gramEnd"/>
      <w:r w:rsidRPr="00B53CCD">
        <w:rPr>
          <w:rFonts w:ascii="Sylfaen" w:eastAsia="Times New Roman" w:hAnsi="Sylfaen"/>
          <w:b/>
          <w:sz w:val="20"/>
        </w:rPr>
        <w:t xml:space="preserve"> 17. </w:t>
      </w:r>
      <w:proofErr w:type="spellStart"/>
      <w:proofErr w:type="gramStart"/>
      <w:r w:rsidRPr="00B53CCD">
        <w:rPr>
          <w:rFonts w:ascii="Sylfaen" w:eastAsia="Sylfaen" w:hAnsi="Sylfaen"/>
          <w:b/>
          <w:sz w:val="20"/>
        </w:rPr>
        <w:t>ავტონომიური</w:t>
      </w:r>
      <w:proofErr w:type="spellEnd"/>
      <w:proofErr w:type="gramEnd"/>
      <w:r w:rsidRPr="00B53CCD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B53CCD">
        <w:rPr>
          <w:rFonts w:ascii="Sylfaen" w:eastAsia="Sylfaen" w:hAnsi="Sylfaen"/>
          <w:b/>
          <w:sz w:val="20"/>
        </w:rPr>
        <w:t>რესპუბლიკებისა</w:t>
      </w:r>
      <w:proofErr w:type="spellEnd"/>
      <w:r w:rsidRPr="00B53CCD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B53CCD">
        <w:rPr>
          <w:rFonts w:ascii="Sylfaen" w:eastAsia="Sylfaen" w:hAnsi="Sylfaen"/>
          <w:b/>
          <w:sz w:val="20"/>
        </w:rPr>
        <w:t>და</w:t>
      </w:r>
      <w:proofErr w:type="spellEnd"/>
      <w:r w:rsidRPr="00B53CCD">
        <w:rPr>
          <w:rFonts w:ascii="Sylfaen" w:eastAsia="Times New Roman" w:hAnsi="Sylfaen"/>
          <w:b/>
          <w:sz w:val="20"/>
        </w:rPr>
        <w:t xml:space="preserve"> </w:t>
      </w:r>
      <w:r w:rsidRPr="00B53CCD">
        <w:rPr>
          <w:rFonts w:ascii="Sylfaen" w:eastAsia="Sylfaen" w:hAnsi="Sylfaen"/>
          <w:b/>
          <w:sz w:val="20"/>
          <w:lang w:val="ka-GE"/>
        </w:rPr>
        <w:t>მუნიციპალიტეტებისათვის გადასაცემი ტრანსფერები</w:t>
      </w:r>
    </w:p>
    <w:p w:rsidR="00B53CCD" w:rsidRPr="00B53CCD" w:rsidRDefault="00B53CCD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</w:p>
    <w:p w:rsidR="00B53CCD" w:rsidRPr="00B53CCD" w:rsidRDefault="00B53CCD" w:rsidP="00B53CCD">
      <w:pPr>
        <w:ind w:firstLine="426"/>
        <w:jc w:val="both"/>
        <w:rPr>
          <w:rFonts w:ascii="Sylfaen" w:eastAsia="Sylfaen" w:hAnsi="Sylfaen" w:cs="Sylfaen"/>
          <w:sz w:val="20"/>
        </w:rPr>
      </w:pPr>
      <w:proofErr w:type="spellStart"/>
      <w:proofErr w:type="gramStart"/>
      <w:r w:rsidRPr="00B53CCD">
        <w:rPr>
          <w:rFonts w:ascii="Sylfaen" w:eastAsia="Sylfaen" w:hAnsi="Sylfaen" w:cs="Sylfaen"/>
          <w:sz w:val="20"/>
        </w:rPr>
        <w:t>ავტონომიური</w:t>
      </w:r>
      <w:proofErr w:type="spellEnd"/>
      <w:proofErr w:type="gram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რესპუბლიკებისა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და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მუნიციპალიტეტებისათვის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გადასაცემი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ტრანსფერები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განისაზღვროს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r w:rsidR="000C5234">
        <w:rPr>
          <w:rFonts w:ascii="Sylfaen" w:eastAsia="Sylfaen" w:hAnsi="Sylfaen" w:cs="Sylfaen"/>
          <w:sz w:val="20"/>
        </w:rPr>
        <w:t xml:space="preserve">         </w:t>
      </w:r>
      <w:r w:rsidRPr="00B53CCD">
        <w:rPr>
          <w:rFonts w:ascii="Sylfaen" w:eastAsia="Sylfaen" w:hAnsi="Sylfaen" w:cs="Sylfaen"/>
          <w:sz w:val="20"/>
        </w:rPr>
        <w:t xml:space="preserve">180 600.0 </w:t>
      </w:r>
      <w:proofErr w:type="spellStart"/>
      <w:r w:rsidRPr="00B53CCD">
        <w:rPr>
          <w:rFonts w:ascii="Sylfaen" w:eastAsia="Sylfaen" w:hAnsi="Sylfaen" w:cs="Sylfaen"/>
          <w:sz w:val="20"/>
        </w:rPr>
        <w:t>ათასი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ლარის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ოდენობით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, </w:t>
      </w:r>
      <w:proofErr w:type="spellStart"/>
      <w:r w:rsidRPr="00B53CCD">
        <w:rPr>
          <w:rFonts w:ascii="Sylfaen" w:eastAsia="Sylfaen" w:hAnsi="Sylfaen" w:cs="Sylfaen"/>
          <w:sz w:val="20"/>
        </w:rPr>
        <w:t>თანდართული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რედაქციით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: </w:t>
      </w:r>
    </w:p>
    <w:p w:rsidR="00B53CCD" w:rsidRPr="00B53CCD" w:rsidRDefault="00B53CCD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B53CCD">
        <w:rPr>
          <w:rFonts w:ascii="Sylfaen" w:eastAsia="Sylfaen" w:hAnsi="Sylfaen"/>
          <w:b/>
          <w:sz w:val="20"/>
        </w:rPr>
        <w:t xml:space="preserve">                     </w:t>
      </w:r>
      <w:r w:rsidRPr="00B53CCD">
        <w:rPr>
          <w:rFonts w:ascii="Sylfaen" w:eastAsia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10702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034"/>
        <w:gridCol w:w="3370"/>
        <w:gridCol w:w="1597"/>
      </w:tblGrid>
      <w:tr w:rsidR="00B53CCD" w:rsidRPr="00B53CCD" w:rsidTr="00B53CCD">
        <w:trPr>
          <w:trHeight w:val="827"/>
          <w:tblHeader/>
        </w:trPr>
        <w:tc>
          <w:tcPr>
            <w:tcW w:w="3701" w:type="dxa"/>
            <w:shd w:val="clear" w:color="000000" w:fill="FFFFFF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B3:E74"/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რესპუბლიკებისა</w:t>
            </w:r>
            <w:proofErr w:type="spellEnd"/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მუნიციპალიტეტების</w:t>
            </w:r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1"/>
            <w:proofErr w:type="spellEnd"/>
          </w:p>
        </w:tc>
        <w:tc>
          <w:tcPr>
            <w:tcW w:w="2034" w:type="dxa"/>
            <w:shd w:val="clear" w:color="000000" w:fill="FFFFFF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</w:p>
        </w:tc>
        <w:tc>
          <w:tcPr>
            <w:tcW w:w="3370" w:type="dxa"/>
            <w:shd w:val="clear" w:color="000000" w:fill="FFFFFF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მიზნობრივი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დელეგირებული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უფლებამოსილების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განსახორციელებლად</w:t>
            </w:r>
            <w:proofErr w:type="spellEnd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597" w:type="dxa"/>
            <w:shd w:val="clear" w:color="000000" w:fill="FFFFFF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სპეციალური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აფხაზეთის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რესპუბლიკა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8,000.0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150,460.0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150,000.0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აჟარის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1,108.0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1,078.0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ხელვაჩაურის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ქედის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შუახევის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ხულოს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ახმეტის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გურჯაანის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ლაგოდეხის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საგარეჯოს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სიღნაღის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ყვარლის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235.0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235.0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ჭიათურის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232.0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232.0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ტყიბულის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2,050.0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1,900.0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წყალტუბოს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ბაღდათის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128.0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ზესტაფონის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თერჯოლის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სამტრედიის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საჩხერის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ხარაგაულის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ხონის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ფოთის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აბაშის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მარტვილის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სენაკის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ჩხოროწყუს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წალენჯიხის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ხობის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გორის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ქურთის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2,125.0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2,035.0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ერედვის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1,970.0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1,925.0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კასპის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ქარელის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თიღვის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1,566.0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1,536.0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ხაშურის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რუსთავის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დმანისის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თეთრი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წყაროს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მარნეულის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წალკის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ლანჩხუთის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ოზურგეთის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253.0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253.0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ჩოხატაურის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ადიგენის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ბორჯომის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ახალგორის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2,416.0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2,326.0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თიანეთის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მცხეთის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ამბროლაურის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ლენტეხის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ონის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ცაგერის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158.0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180,600.0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11,800.0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168,800.0</w:t>
            </w:r>
          </w:p>
        </w:tc>
      </w:tr>
    </w:tbl>
    <w:p w:rsidR="00B53CCD" w:rsidRDefault="00B53CCD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D253E" w:rsidRDefault="00B53CCD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  <w:r>
        <w:rPr>
          <w:rFonts w:ascii="Sylfaen" w:eastAsia="Sylfaen" w:hAnsi="Sylfaen"/>
          <w:sz w:val="24"/>
          <w:szCs w:val="24"/>
          <w:lang w:val="ka-GE"/>
        </w:rPr>
        <w:t xml:space="preserve">       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შენიშვნა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r w:rsidRPr="00B53CCD">
        <w:rPr>
          <w:rFonts w:ascii="Sylfaen" w:eastAsia="Sylfaen" w:hAnsi="Sylfaen"/>
          <w:sz w:val="18"/>
          <w:szCs w:val="18"/>
          <w:lang w:val="ka-GE"/>
        </w:rPr>
        <w:t>(*)</w:t>
      </w:r>
      <w:r w:rsidRPr="00B53CCD">
        <w:rPr>
          <w:rFonts w:ascii="Sylfaen" w:eastAsia="Sylfaen" w:hAnsi="Sylfaen"/>
          <w:sz w:val="18"/>
          <w:szCs w:val="18"/>
        </w:rPr>
        <w:t>:</w:t>
      </w:r>
      <w:r w:rsidRPr="00B53CCD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დელეგირებულ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უფლებამოსილებებს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განეკუთვნება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r w:rsidRPr="00B53CCD">
        <w:rPr>
          <w:rFonts w:ascii="Sylfaen" w:eastAsia="Sylfaen" w:hAnsi="Sylfaen"/>
          <w:sz w:val="18"/>
          <w:szCs w:val="18"/>
          <w:lang w:val="ka-GE"/>
        </w:rPr>
        <w:t>„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საზოგადოებრივი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ჯანმრთელობის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B53CCD">
        <w:rPr>
          <w:rFonts w:ascii="Sylfaen" w:eastAsia="Sylfaen" w:hAnsi="Sylfaen"/>
          <w:sz w:val="18"/>
          <w:szCs w:val="18"/>
          <w:lang w:val="ka-GE"/>
        </w:rPr>
        <w:t>“</w:t>
      </w:r>
      <w:r w:rsidRPr="00B53CCD">
        <w:rPr>
          <w:rFonts w:ascii="Sylfaen" w:eastAsia="Sylfaen" w:hAnsi="Sylfaen"/>
          <w:sz w:val="18"/>
          <w:szCs w:val="18"/>
        </w:rPr>
        <w:t>,</w:t>
      </w:r>
      <w:r w:rsidRPr="00B53CCD">
        <w:rPr>
          <w:rFonts w:ascii="Sylfaen" w:eastAsia="Sylfaen" w:hAnsi="Sylfaen"/>
          <w:sz w:val="18"/>
          <w:szCs w:val="18"/>
          <w:lang w:val="ka-GE"/>
        </w:rPr>
        <w:t xml:space="preserve"> „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სამხედრო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ვალდებულებისა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და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სამხედრო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B53CCD">
        <w:rPr>
          <w:rFonts w:ascii="Sylfaen" w:eastAsia="Sylfaen" w:hAnsi="Sylfaen"/>
          <w:sz w:val="18"/>
          <w:szCs w:val="18"/>
        </w:rPr>
        <w:t>სამსახურის</w:t>
      </w:r>
      <w:proofErr w:type="spellEnd"/>
      <w:r w:rsidRPr="00B53CCD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8D494C">
        <w:rPr>
          <w:rFonts w:ascii="Sylfaen" w:eastAsia="Sylfaen" w:hAnsi="Sylfaen"/>
          <w:sz w:val="18"/>
          <w:szCs w:val="18"/>
          <w:lang w:val="ka-GE"/>
        </w:rPr>
        <w:t>“</w:t>
      </w:r>
      <w:r w:rsidRPr="008D494C">
        <w:rPr>
          <w:rFonts w:ascii="Sylfaen" w:eastAsia="Sylfaen" w:hAnsi="Sylfaen"/>
          <w:sz w:val="18"/>
          <w:szCs w:val="18"/>
        </w:rPr>
        <w:t xml:space="preserve">, </w:t>
      </w:r>
      <w:r w:rsidRPr="008D494C">
        <w:rPr>
          <w:rFonts w:ascii="Sylfaen" w:eastAsia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8D494C">
        <w:rPr>
          <w:rFonts w:ascii="Sylfaen" w:eastAsia="Sylfaen" w:hAnsi="Sylfaen"/>
          <w:sz w:val="18"/>
          <w:szCs w:val="18"/>
        </w:rPr>
        <w:t xml:space="preserve">“, </w:t>
      </w:r>
      <w:r w:rsidRPr="008D494C">
        <w:rPr>
          <w:rFonts w:ascii="Sylfaen" w:eastAsia="Sylfaen" w:hAnsi="Sylfaen"/>
          <w:sz w:val="18"/>
          <w:szCs w:val="18"/>
          <w:lang w:val="ka-GE"/>
        </w:rPr>
        <w:t>„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საქართველოს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ოკუპირებული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ტერიტორიებიდან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იძულებით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გადაადგილებულ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პირთა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−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დევნილთა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8D494C">
        <w:rPr>
          <w:rFonts w:ascii="Sylfaen" w:eastAsia="Sylfaen" w:hAnsi="Sylfaen"/>
          <w:sz w:val="18"/>
          <w:szCs w:val="18"/>
          <w:lang w:val="ka-GE"/>
        </w:rPr>
        <w:t>“</w:t>
      </w:r>
      <w:r w:rsidRPr="008D494C">
        <w:rPr>
          <w:rFonts w:ascii="Sylfaen" w:eastAsia="Sylfaen" w:hAnsi="Sylfaen"/>
          <w:sz w:val="18"/>
          <w:szCs w:val="18"/>
        </w:rPr>
        <w:t xml:space="preserve">, </w:t>
      </w:r>
      <w:r w:rsidRPr="008D494C">
        <w:rPr>
          <w:rFonts w:ascii="Sylfaen" w:eastAsia="Sylfaen" w:hAnsi="Sylfaen"/>
          <w:sz w:val="18"/>
          <w:szCs w:val="18"/>
          <w:lang w:val="ka-GE"/>
        </w:rPr>
        <w:t>„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სამშობლოს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დაცვისას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დაღუპულთა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და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ომის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შემდეგ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გარდაცვლილ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მეომართა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ხსოვნის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უკვდავყოფის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8D494C">
        <w:rPr>
          <w:rFonts w:ascii="Sylfaen" w:eastAsia="Sylfaen" w:hAnsi="Sylfaen"/>
          <w:sz w:val="18"/>
          <w:szCs w:val="18"/>
          <w:lang w:val="ka-GE"/>
        </w:rPr>
        <w:t>“</w:t>
      </w:r>
      <w:r w:rsidRPr="008D494C">
        <w:rPr>
          <w:rFonts w:ascii="Sylfaen" w:eastAsia="Sylfaen" w:hAnsi="Sylfaen"/>
          <w:sz w:val="18"/>
          <w:szCs w:val="18"/>
        </w:rPr>
        <w:t>,</w:t>
      </w:r>
      <w:r w:rsidRPr="008D494C">
        <w:rPr>
          <w:rFonts w:ascii="Sylfaen" w:eastAsia="Sylfaen" w:hAnsi="Sylfaen"/>
          <w:sz w:val="18"/>
          <w:szCs w:val="18"/>
          <w:lang w:val="ka-GE"/>
        </w:rPr>
        <w:t xml:space="preserve"> „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მაღალმთიანი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რეგიონების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განვითარების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8D494C">
        <w:rPr>
          <w:rFonts w:ascii="Sylfaen" w:eastAsia="Sylfaen" w:hAnsi="Sylfaen"/>
          <w:sz w:val="18"/>
          <w:szCs w:val="18"/>
          <w:lang w:val="ka-GE"/>
        </w:rPr>
        <w:t xml:space="preserve">“ და სხვა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საქართველოს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კანონებით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განსაზღვრული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უფლებამოსილებებით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გათვალისწინებულ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8D494C">
        <w:rPr>
          <w:rFonts w:ascii="Sylfaen" w:eastAsia="Sylfaen" w:hAnsi="Sylfaen"/>
          <w:sz w:val="18"/>
          <w:szCs w:val="18"/>
        </w:rPr>
        <w:t>ღონისძიებათა</w:t>
      </w:r>
      <w:proofErr w:type="spellEnd"/>
      <w:r w:rsidRPr="008D494C">
        <w:rPr>
          <w:rFonts w:ascii="Sylfaen" w:eastAsia="Sylfaen" w:hAnsi="Sylfaen"/>
          <w:sz w:val="18"/>
          <w:szCs w:val="18"/>
        </w:rPr>
        <w:t xml:space="preserve">  </w:t>
      </w:r>
      <w:r w:rsidRPr="008D494C">
        <w:rPr>
          <w:rFonts w:ascii="Sylfaen" w:eastAsia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2019 წელს შესაძლებელია განხორციელდეს მუნიციპალიტეტებისთვის საჯარო სკოლების სარეაბილიტაციო სამუშაოებ</w:t>
      </w:r>
      <w:r w:rsidR="008D494C" w:rsidRPr="008D494C">
        <w:rPr>
          <w:rFonts w:ascii="Sylfaen" w:eastAsia="Sylfaen" w:hAnsi="Sylfaen"/>
          <w:sz w:val="18"/>
          <w:szCs w:val="18"/>
          <w:lang w:val="ka-GE"/>
        </w:rPr>
        <w:t>თან დაკავშირებული ღონისძიებების</w:t>
      </w:r>
      <w:r w:rsidRPr="008D494C">
        <w:rPr>
          <w:rFonts w:ascii="Sylfaen" w:eastAsia="Sylfaen" w:hAnsi="Sylfaen"/>
          <w:sz w:val="18"/>
          <w:szCs w:val="18"/>
          <w:lang w:val="ka-GE"/>
        </w:rPr>
        <w:t xml:space="preserve"> (25 07 – ზოგადსაგანმანათლებლო ინფრასტრუქტურის მშენებლობა და რეაბილიტაცია)</w:t>
      </w:r>
      <w:r w:rsidRPr="00B53CCD">
        <w:rPr>
          <w:rFonts w:ascii="Sylfaen" w:eastAsia="Sylfaen" w:hAnsi="Sylfaen"/>
          <w:sz w:val="18"/>
          <w:szCs w:val="18"/>
          <w:lang w:val="ka-GE"/>
        </w:rPr>
        <w:t xml:space="preserve"> და მოსწავლეთა ტრანსპორტით უზრუნველყოფის (32 02 11 – საჯარო სკოლის მოსწავლეების ტრანსპორტით უზრუნველყოფა) უფლებამოსილებების დელეგირება.</w:t>
      </w:r>
    </w:p>
    <w:sectPr w:rsidR="008D253E" w:rsidSect="00A97F68">
      <w:footerReference w:type="default" r:id="rId8"/>
      <w:pgSz w:w="12240" w:h="15840"/>
      <w:pgMar w:top="450" w:right="720" w:bottom="180" w:left="90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91" w:rsidRDefault="00C86C91" w:rsidP="00B21842">
      <w:pPr>
        <w:spacing w:after="0" w:line="240" w:lineRule="auto"/>
      </w:pPr>
      <w:r>
        <w:separator/>
      </w:r>
    </w:p>
  </w:endnote>
  <w:endnote w:type="continuationSeparator" w:id="0">
    <w:p w:rsidR="00C86C91" w:rsidRDefault="00C86C91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altName w:val="Arial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AE1" w:rsidRDefault="00BA1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F68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BA1AE1" w:rsidRDefault="00BA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91" w:rsidRDefault="00C86C91" w:rsidP="00B21842">
      <w:pPr>
        <w:spacing w:after="0" w:line="240" w:lineRule="auto"/>
      </w:pPr>
      <w:r>
        <w:separator/>
      </w:r>
    </w:p>
  </w:footnote>
  <w:footnote w:type="continuationSeparator" w:id="0">
    <w:p w:rsidR="00C86C91" w:rsidRDefault="00C86C91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247E1"/>
    <w:rsid w:val="00024873"/>
    <w:rsid w:val="000517B1"/>
    <w:rsid w:val="00053E80"/>
    <w:rsid w:val="00067EDC"/>
    <w:rsid w:val="00072078"/>
    <w:rsid w:val="0009796C"/>
    <w:rsid w:val="000B1E2E"/>
    <w:rsid w:val="000B2BE9"/>
    <w:rsid w:val="000C0001"/>
    <w:rsid w:val="000C5234"/>
    <w:rsid w:val="000D2752"/>
    <w:rsid w:val="000D2FBA"/>
    <w:rsid w:val="000D643D"/>
    <w:rsid w:val="000E450F"/>
    <w:rsid w:val="001111A1"/>
    <w:rsid w:val="00126065"/>
    <w:rsid w:val="001300E0"/>
    <w:rsid w:val="0013381E"/>
    <w:rsid w:val="0013445B"/>
    <w:rsid w:val="00135D1C"/>
    <w:rsid w:val="00162E72"/>
    <w:rsid w:val="001B00B8"/>
    <w:rsid w:val="001B185C"/>
    <w:rsid w:val="001B2143"/>
    <w:rsid w:val="001C5032"/>
    <w:rsid w:val="001E5131"/>
    <w:rsid w:val="00256188"/>
    <w:rsid w:val="00274A6D"/>
    <w:rsid w:val="0029343D"/>
    <w:rsid w:val="0029740D"/>
    <w:rsid w:val="002B1BE5"/>
    <w:rsid w:val="002B725A"/>
    <w:rsid w:val="002C0F1D"/>
    <w:rsid w:val="002D2F51"/>
    <w:rsid w:val="002E3612"/>
    <w:rsid w:val="00300E4D"/>
    <w:rsid w:val="00326147"/>
    <w:rsid w:val="00351CA8"/>
    <w:rsid w:val="00357485"/>
    <w:rsid w:val="00373AD5"/>
    <w:rsid w:val="0039045A"/>
    <w:rsid w:val="0039206C"/>
    <w:rsid w:val="003A2221"/>
    <w:rsid w:val="003A6573"/>
    <w:rsid w:val="003C23F3"/>
    <w:rsid w:val="00405760"/>
    <w:rsid w:val="00445D28"/>
    <w:rsid w:val="00485632"/>
    <w:rsid w:val="0048571A"/>
    <w:rsid w:val="00493D04"/>
    <w:rsid w:val="004A7B18"/>
    <w:rsid w:val="004B2857"/>
    <w:rsid w:val="004B38CE"/>
    <w:rsid w:val="004C0912"/>
    <w:rsid w:val="004F1DB6"/>
    <w:rsid w:val="004F2021"/>
    <w:rsid w:val="004F5E65"/>
    <w:rsid w:val="0051114C"/>
    <w:rsid w:val="00512D3D"/>
    <w:rsid w:val="00540364"/>
    <w:rsid w:val="005972E2"/>
    <w:rsid w:val="005A174A"/>
    <w:rsid w:val="005A5121"/>
    <w:rsid w:val="005B2B2C"/>
    <w:rsid w:val="00611B57"/>
    <w:rsid w:val="00644C07"/>
    <w:rsid w:val="006457EE"/>
    <w:rsid w:val="006470BC"/>
    <w:rsid w:val="00664574"/>
    <w:rsid w:val="006749FD"/>
    <w:rsid w:val="00675EFA"/>
    <w:rsid w:val="006853E4"/>
    <w:rsid w:val="006F4F66"/>
    <w:rsid w:val="00744F21"/>
    <w:rsid w:val="00747980"/>
    <w:rsid w:val="0075643D"/>
    <w:rsid w:val="00775D0D"/>
    <w:rsid w:val="007A2B73"/>
    <w:rsid w:val="007A57B1"/>
    <w:rsid w:val="007C4B19"/>
    <w:rsid w:val="007C5634"/>
    <w:rsid w:val="007D4A00"/>
    <w:rsid w:val="007D4ADD"/>
    <w:rsid w:val="007D750B"/>
    <w:rsid w:val="007E27D4"/>
    <w:rsid w:val="0082548B"/>
    <w:rsid w:val="00881E48"/>
    <w:rsid w:val="0089465C"/>
    <w:rsid w:val="008B13CA"/>
    <w:rsid w:val="008C1088"/>
    <w:rsid w:val="008D253E"/>
    <w:rsid w:val="008D494C"/>
    <w:rsid w:val="008D564C"/>
    <w:rsid w:val="008D75BE"/>
    <w:rsid w:val="00906F03"/>
    <w:rsid w:val="00907AD0"/>
    <w:rsid w:val="00925B74"/>
    <w:rsid w:val="00932CED"/>
    <w:rsid w:val="009447AE"/>
    <w:rsid w:val="00950B24"/>
    <w:rsid w:val="00967E82"/>
    <w:rsid w:val="00970D0C"/>
    <w:rsid w:val="009802A6"/>
    <w:rsid w:val="009868C4"/>
    <w:rsid w:val="0099557E"/>
    <w:rsid w:val="00995C48"/>
    <w:rsid w:val="009A516B"/>
    <w:rsid w:val="009A64C8"/>
    <w:rsid w:val="009B5DC9"/>
    <w:rsid w:val="009C438E"/>
    <w:rsid w:val="009F4653"/>
    <w:rsid w:val="009F5AAD"/>
    <w:rsid w:val="00A27EF1"/>
    <w:rsid w:val="00A35754"/>
    <w:rsid w:val="00A813AD"/>
    <w:rsid w:val="00A9594F"/>
    <w:rsid w:val="00A97F68"/>
    <w:rsid w:val="00AA74E1"/>
    <w:rsid w:val="00AB581E"/>
    <w:rsid w:val="00AC2534"/>
    <w:rsid w:val="00AD13A1"/>
    <w:rsid w:val="00AD1FC5"/>
    <w:rsid w:val="00AD3F07"/>
    <w:rsid w:val="00AE30DE"/>
    <w:rsid w:val="00AF31C2"/>
    <w:rsid w:val="00B21842"/>
    <w:rsid w:val="00B42692"/>
    <w:rsid w:val="00B53CCD"/>
    <w:rsid w:val="00B6229A"/>
    <w:rsid w:val="00B631B5"/>
    <w:rsid w:val="00B6372D"/>
    <w:rsid w:val="00B67D8C"/>
    <w:rsid w:val="00B812C6"/>
    <w:rsid w:val="00B938DF"/>
    <w:rsid w:val="00BA1AE1"/>
    <w:rsid w:val="00BB15D8"/>
    <w:rsid w:val="00BB6706"/>
    <w:rsid w:val="00C51ACE"/>
    <w:rsid w:val="00C534C0"/>
    <w:rsid w:val="00C60040"/>
    <w:rsid w:val="00C827C0"/>
    <w:rsid w:val="00C86C91"/>
    <w:rsid w:val="00C9747E"/>
    <w:rsid w:val="00CA76AA"/>
    <w:rsid w:val="00CB0CA2"/>
    <w:rsid w:val="00CD208C"/>
    <w:rsid w:val="00CE142F"/>
    <w:rsid w:val="00CF4E2F"/>
    <w:rsid w:val="00D072BE"/>
    <w:rsid w:val="00D14C54"/>
    <w:rsid w:val="00D15749"/>
    <w:rsid w:val="00D261B2"/>
    <w:rsid w:val="00D30C9A"/>
    <w:rsid w:val="00D32D96"/>
    <w:rsid w:val="00D35ABD"/>
    <w:rsid w:val="00D52AFB"/>
    <w:rsid w:val="00D675A1"/>
    <w:rsid w:val="00D87F33"/>
    <w:rsid w:val="00DA16DF"/>
    <w:rsid w:val="00DB1742"/>
    <w:rsid w:val="00DB7082"/>
    <w:rsid w:val="00DC3C00"/>
    <w:rsid w:val="00DD3DB3"/>
    <w:rsid w:val="00DE1E34"/>
    <w:rsid w:val="00E0401B"/>
    <w:rsid w:val="00E10035"/>
    <w:rsid w:val="00E131DD"/>
    <w:rsid w:val="00E1497D"/>
    <w:rsid w:val="00E220E3"/>
    <w:rsid w:val="00E24190"/>
    <w:rsid w:val="00E56480"/>
    <w:rsid w:val="00E877AF"/>
    <w:rsid w:val="00E943E3"/>
    <w:rsid w:val="00EC0FF9"/>
    <w:rsid w:val="00EC6B7E"/>
    <w:rsid w:val="00ED09E4"/>
    <w:rsid w:val="00F00B0B"/>
    <w:rsid w:val="00F55F0B"/>
    <w:rsid w:val="00F63837"/>
    <w:rsid w:val="00F82222"/>
    <w:rsid w:val="00F8270C"/>
    <w:rsid w:val="00FB5905"/>
    <w:rsid w:val="00FC06D2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02D3E-3416-4823-B49C-001AA1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4303-C3DA-43F9-8086-AD59BDB7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davit.metreveli</dc:creator>
  <cp:lastModifiedBy>Inga Gurgenidze</cp:lastModifiedBy>
  <cp:revision>10</cp:revision>
  <cp:lastPrinted>2016-12-19T13:15:00Z</cp:lastPrinted>
  <dcterms:created xsi:type="dcterms:W3CDTF">2019-09-14T17:23:00Z</dcterms:created>
  <dcterms:modified xsi:type="dcterms:W3CDTF">2019-09-20T05:58:00Z</dcterms:modified>
</cp:coreProperties>
</file>